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B3BB07" w14:textId="0CAA4338" w:rsidR="00576BEB" w:rsidRDefault="00576BEB" w:rsidP="00576BEB">
      <w:pPr>
        <w:pStyle w:val="Header"/>
      </w:pPr>
      <w:r>
        <w:t>Chapter 12</w:t>
      </w:r>
      <w:r>
        <w:t xml:space="preserve"> - </w:t>
      </w:r>
      <w:r>
        <w:t>ALKO Case Study</w:t>
      </w:r>
    </w:p>
    <w:p w14:paraId="4525F1A2" w14:textId="77777777" w:rsidR="00576BEB" w:rsidRDefault="00576BEB" w:rsidP="0051583F"/>
    <w:p w14:paraId="633A63D5" w14:textId="19FE2033" w:rsidR="00E86509" w:rsidRDefault="0074709E" w:rsidP="0051583F">
      <w:r>
        <w:t>The goal of this case is to get students to understand that the value of centralization of inventory is affected by the coefficient of variation as well as the correlation of demand. High coefficient of variation products with low correlation provide the biggest gains from centralization while low coefficient of variation products with hig</w:t>
      </w:r>
      <w:r w:rsidR="00F334C7">
        <w:t>h</w:t>
      </w:r>
      <w:r>
        <w:t xml:space="preserve"> correlations provide the least value from centralization. </w:t>
      </w:r>
      <w:r w:rsidR="0051583F">
        <w:t>The results for this case are obtained using the acco</w:t>
      </w:r>
      <w:bookmarkStart w:id="0" w:name="_GoBack"/>
      <w:bookmarkEnd w:id="0"/>
      <w:r w:rsidR="0051583F">
        <w:t xml:space="preserve">mpanying spreadsheet </w:t>
      </w:r>
      <w:proofErr w:type="spellStart"/>
      <w:r w:rsidR="00E86509">
        <w:rPr>
          <w:i/>
        </w:rPr>
        <w:t>Alko</w:t>
      </w:r>
      <w:proofErr w:type="spellEnd"/>
      <w:r w:rsidR="0071387B">
        <w:rPr>
          <w:i/>
        </w:rPr>
        <w:t xml:space="preserve"> Case Study</w:t>
      </w:r>
      <w:r w:rsidR="0051583F">
        <w:t xml:space="preserve">. </w:t>
      </w:r>
      <w:r w:rsidR="00FF0268">
        <w:t xml:space="preserve"> </w:t>
      </w:r>
    </w:p>
    <w:p w14:paraId="5214BB3E" w14:textId="77777777" w:rsidR="00E9667B" w:rsidRPr="00E9667B" w:rsidRDefault="00E9667B" w:rsidP="00E9667B">
      <w:pPr>
        <w:pStyle w:val="ListParagraph"/>
        <w:numPr>
          <w:ilvl w:val="0"/>
          <w:numId w:val="1"/>
        </w:numPr>
      </w:pPr>
      <w:r>
        <w:t>What is the annual inventory and distribution cost of the current distribution system?</w:t>
      </w:r>
    </w:p>
    <w:p w14:paraId="006023B3" w14:textId="77777777" w:rsidR="00E86509" w:rsidRPr="00E86509" w:rsidRDefault="00E86509" w:rsidP="0051583F">
      <w:pPr>
        <w:rPr>
          <w:u w:val="single"/>
        </w:rPr>
      </w:pPr>
      <w:r>
        <w:rPr>
          <w:u w:val="single"/>
        </w:rPr>
        <w:t xml:space="preserve">Status Quo </w:t>
      </w:r>
      <w:r w:rsidR="00E9667B">
        <w:rPr>
          <w:u w:val="single"/>
        </w:rPr>
        <w:t xml:space="preserve">(current distribution system) </w:t>
      </w:r>
      <w:r>
        <w:rPr>
          <w:u w:val="single"/>
        </w:rPr>
        <w:t>Calculations</w:t>
      </w:r>
    </w:p>
    <w:p w14:paraId="03464C45" w14:textId="63876906" w:rsidR="0051583F" w:rsidRDefault="00FF0268" w:rsidP="0051583F">
      <w:r>
        <w:t xml:space="preserve">The </w:t>
      </w:r>
      <w:r w:rsidR="00E86509">
        <w:t xml:space="preserve">worksheet </w:t>
      </w:r>
      <w:r w:rsidR="00E86509">
        <w:rPr>
          <w:i/>
        </w:rPr>
        <w:t>Demand &amp; Costs</w:t>
      </w:r>
      <w:r w:rsidR="00E86509">
        <w:t xml:space="preserve"> evaluates the inventory and transportation costs for the status quo where each region is served by a local DC. Each region follows a periodic review policy where an order is placed every </w:t>
      </w:r>
      <w:r w:rsidR="001E43F5">
        <w:t>six</w:t>
      </w:r>
      <w:r w:rsidR="00E86509">
        <w:t xml:space="preserve"> days with a replenishment lead time of </w:t>
      </w:r>
      <w:r w:rsidR="001E43F5">
        <w:t>five</w:t>
      </w:r>
      <w:r w:rsidR="00E86509">
        <w:t xml:space="preserve"> days. Given a reorder interval of </w:t>
      </w:r>
      <w:r w:rsidR="001E43F5">
        <w:t>six</w:t>
      </w:r>
      <w:r w:rsidR="00E86509">
        <w:t xml:space="preserve"> days, the batch size is </w:t>
      </w:r>
      <w:r w:rsidR="001E43F5">
        <w:t>six</w:t>
      </w:r>
      <w:r w:rsidR="00E86509">
        <w:t xml:space="preserve"> days of demand. The safety inventory in each location (for each product) is calculated using Equation 12.1</w:t>
      </w:r>
      <w:r w:rsidR="006D1DEE">
        <w:t>9</w:t>
      </w:r>
      <w:r w:rsidR="00E86509">
        <w:t>. The cycle inventory and safety inventories are evaluated in Cells C43:G48. They are converted into days of demand in Cells K43:O48. It is interesting to get the class to observe that the days of safety inventory held is proportional to the coefficient of variation calculated in Cell C25:G27. The total cost of the status quo is evaluated in Cell H67 to be $960,326.</w:t>
      </w:r>
    </w:p>
    <w:p w14:paraId="3AE8960F" w14:textId="77777777" w:rsidR="00E9667B" w:rsidRPr="00E9667B" w:rsidRDefault="00E9667B" w:rsidP="00E9667B">
      <w:pPr>
        <w:pStyle w:val="ListParagraph"/>
        <w:numPr>
          <w:ilvl w:val="0"/>
          <w:numId w:val="1"/>
        </w:numPr>
      </w:pPr>
      <w:r>
        <w:t>What are the savings that would result from following the task force recommendation and setting up an NDC?</w:t>
      </w:r>
    </w:p>
    <w:p w14:paraId="07D19EFF" w14:textId="77777777" w:rsidR="00E9667B" w:rsidRPr="00E9667B" w:rsidRDefault="00E9667B" w:rsidP="0051583F">
      <w:r>
        <w:t>We now detail</w:t>
      </w:r>
      <w:r w:rsidR="00EF2472">
        <w:t xml:space="preserve"> the analysis for the case when all products are stored at a central NDC.</w:t>
      </w:r>
    </w:p>
    <w:p w14:paraId="0FCD6339" w14:textId="77777777" w:rsidR="00FF0268" w:rsidRDefault="00DD1A7B" w:rsidP="0051583F">
      <w:r>
        <w:rPr>
          <w:u w:val="single"/>
        </w:rPr>
        <w:t>Impact of Centralization</w:t>
      </w:r>
    </w:p>
    <w:p w14:paraId="5564393A" w14:textId="77777777" w:rsidR="00EF2472" w:rsidRDefault="00DD1A7B" w:rsidP="0051583F">
      <w:r>
        <w:t xml:space="preserve">The worksheet </w:t>
      </w:r>
      <w:r>
        <w:rPr>
          <w:i/>
        </w:rPr>
        <w:t>Central vs. Local</w:t>
      </w:r>
      <w:r>
        <w:t xml:space="preserve"> details the inventory and financial impact of centralizing all inventory in an NDC. The mean and standard deviation of centralized demand is obtained in Cells J16:J21 using Equation 12.13. This is used to evaluate the cycle and safety inventory (using Equation 12.1</w:t>
      </w:r>
      <w:r w:rsidR="006D1DEE">
        <w:t>9</w:t>
      </w:r>
      <w:r>
        <w:t>) in Cells J35:J40. The costs from centralizing each part type is obtained in Cells J56:J58 with the total cost in Cell J59 of $755,164 for the case when demand across all regions is independent. The net savings</w:t>
      </w:r>
      <w:r w:rsidR="00EF2472">
        <w:t xml:space="preserve"> of $205,162</w:t>
      </w:r>
      <w:r>
        <w:t xml:space="preserve"> from centralization are shown in Cell J60. </w:t>
      </w:r>
    </w:p>
    <w:p w14:paraId="00F456C4" w14:textId="77777777" w:rsidR="00EF2472" w:rsidRDefault="00C30A64" w:rsidP="0051583F">
      <w:r w:rsidRPr="00C30A64">
        <w:rPr>
          <w:noProof/>
        </w:rPr>
        <w:drawing>
          <wp:inline distT="0" distB="0" distL="0" distR="0" wp14:anchorId="64E53B67" wp14:editId="4924BE7A">
            <wp:extent cx="5943600" cy="800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5943600" cy="800100"/>
                    </a:xfrm>
                    <a:prstGeom prst="rect">
                      <a:avLst/>
                    </a:prstGeom>
                  </pic:spPr>
                </pic:pic>
              </a:graphicData>
            </a:graphic>
          </wp:inline>
        </w:drawing>
      </w:r>
    </w:p>
    <w:p w14:paraId="38B157DF" w14:textId="77777777" w:rsidR="00EF2472" w:rsidRDefault="00EF2472" w:rsidP="0051583F">
      <w:r>
        <w:t>Setting up an NDC reduces annual inventory and distribution costs by $205,162 when demand across regions is independent (has a correlation coefficient of 0).</w:t>
      </w:r>
    </w:p>
    <w:p w14:paraId="0684E879" w14:textId="77777777" w:rsidR="00DD1A7B" w:rsidRDefault="00DD1A7B" w:rsidP="0051583F">
      <w:r>
        <w:lastRenderedPageBreak/>
        <w:t>Tables from row 64 to row 114 show the impact of different cycle service levels and correlation coefficient on the net savings from centralization.</w:t>
      </w:r>
      <w:r w:rsidR="00EF2472">
        <w:t xml:space="preserve"> </w:t>
      </w:r>
    </w:p>
    <w:p w14:paraId="33D71C76" w14:textId="5CD4FF2B" w:rsidR="00EF2472" w:rsidRDefault="00BA699C" w:rsidP="0051583F">
      <w:r w:rsidRPr="00BA699C">
        <w:rPr>
          <w:noProof/>
        </w:rPr>
        <w:drawing>
          <wp:inline distT="0" distB="0" distL="0" distR="0" wp14:anchorId="2C9FF109" wp14:editId="0EEEC0F0">
            <wp:extent cx="4809744" cy="21579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09744" cy="2157984"/>
                    </a:xfrm>
                    <a:prstGeom prst="rect">
                      <a:avLst/>
                    </a:prstGeom>
                  </pic:spPr>
                </pic:pic>
              </a:graphicData>
            </a:graphic>
          </wp:inline>
        </w:drawing>
      </w:r>
    </w:p>
    <w:p w14:paraId="5E6B9EAD" w14:textId="77777777" w:rsidR="00EF2472" w:rsidRDefault="00EF2472" w:rsidP="0051583F">
      <w:r>
        <w:t>Observe that as the correlation coefficient increases, the benefit of centralization declines. As the cycle service level increases, the benefit of centralization grows.</w:t>
      </w:r>
    </w:p>
    <w:p w14:paraId="61B33B72" w14:textId="77777777" w:rsidR="00EF2472" w:rsidRDefault="00EF2472" w:rsidP="00EF2472">
      <w:pPr>
        <w:pStyle w:val="ListParagraph"/>
        <w:numPr>
          <w:ilvl w:val="0"/>
          <w:numId w:val="1"/>
        </w:numPr>
      </w:pPr>
      <w:r>
        <w:t>Suggest other options that Gary Fisher should consider.</w:t>
      </w:r>
    </w:p>
    <w:p w14:paraId="33FC7422" w14:textId="77777777" w:rsidR="004A4B2B" w:rsidRDefault="00DD1A7B" w:rsidP="0051583F">
      <w:r>
        <w:t>Cells K56:K58 show the marginal savings for each part type. Observe that the marginal savings from part type 1 (low coefficient of variation) are the lowest while the marginal savings from part type 7 (high coefficient of variation) are the highest.</w:t>
      </w:r>
      <w:r w:rsidR="004A4B2B">
        <w:t xml:space="preserve"> </w:t>
      </w:r>
    </w:p>
    <w:p w14:paraId="77000F85" w14:textId="77777777" w:rsidR="00DD1A7B" w:rsidRDefault="004A4B2B" w:rsidP="0051583F">
      <w:r>
        <w:t>This suggests that we should look at options where only some of the products are centralized. This is because centralization requires the building of a new NDC and the size of the new NDC is affected by the parts centralized. Centralizing all parts in an NDC requires an NDC capable of handling about 700K units per year at a cost of about $1.1 million (from Figure 12-8). This translates to a net investment of $850,000 because we save $50,000 per DC that is closed.</w:t>
      </w:r>
    </w:p>
    <w:p w14:paraId="586052FB" w14:textId="77777777" w:rsidR="004A4B2B" w:rsidRDefault="004A4B2B" w:rsidP="0051583F">
      <w:r>
        <w:rPr>
          <w:u w:val="single"/>
        </w:rPr>
        <w:t>Centralize only Parts 3 &amp; 7</w:t>
      </w:r>
    </w:p>
    <w:p w14:paraId="025C5628" w14:textId="77777777" w:rsidR="00EF2472" w:rsidRDefault="004A4B2B" w:rsidP="0051583F">
      <w:r>
        <w:t xml:space="preserve">The worksheet </w:t>
      </w:r>
      <w:r>
        <w:rPr>
          <w:i/>
        </w:rPr>
        <w:t>Option 1.0</w:t>
      </w:r>
      <w:r>
        <w:t xml:space="preserve"> shows all calculations for the case where parts of type 1 are decentralized while parts of type 3 and 7 are centralized at the NDC. Cell H68 shows the total operating cost of such a system to be $765,064 for the case where all demands are independent. This option thus results in a net savings of $195,262. </w:t>
      </w:r>
    </w:p>
    <w:p w14:paraId="2B61F062" w14:textId="77777777" w:rsidR="00EF2472" w:rsidRDefault="00EF2472" w:rsidP="0051583F">
      <w:r w:rsidRPr="00EF2472">
        <w:rPr>
          <w:noProof/>
        </w:rPr>
        <w:drawing>
          <wp:inline distT="0" distB="0" distL="0" distR="0" wp14:anchorId="03AEB37F" wp14:editId="6028B340">
            <wp:extent cx="5943600" cy="1183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5943600" cy="1183640"/>
                    </a:xfrm>
                    <a:prstGeom prst="rect">
                      <a:avLst/>
                    </a:prstGeom>
                  </pic:spPr>
                </pic:pic>
              </a:graphicData>
            </a:graphic>
          </wp:inline>
        </w:drawing>
      </w:r>
    </w:p>
    <w:p w14:paraId="674FADC1" w14:textId="77777777" w:rsidR="004A4B2B" w:rsidRDefault="004A4B2B" w:rsidP="0051583F">
      <w:r>
        <w:lastRenderedPageBreak/>
        <w:t>The NDC to be built, however, is now much smaller and requires a smaller investment. The total units shipped through the NDC in this case are 358,759 requiring an NDC investment of only about $650,000. Clearly the return on investment in this case is higher than if all products are centralized.</w:t>
      </w:r>
    </w:p>
    <w:p w14:paraId="76C9A0E6" w14:textId="77777777" w:rsidR="004A4B2B" w:rsidRDefault="004A4B2B" w:rsidP="0051583F">
      <w:r>
        <w:rPr>
          <w:u w:val="single"/>
        </w:rPr>
        <w:t>Centralize only Parts 7</w:t>
      </w:r>
    </w:p>
    <w:p w14:paraId="302E84F4" w14:textId="77777777" w:rsidR="00EF2472" w:rsidRDefault="004A4B2B" w:rsidP="004A4B2B">
      <w:r>
        <w:t xml:space="preserve">The worksheet </w:t>
      </w:r>
      <w:r>
        <w:rPr>
          <w:i/>
        </w:rPr>
        <w:t>Option 1.0</w:t>
      </w:r>
      <w:r w:rsidR="003C2DAA">
        <w:rPr>
          <w:i/>
        </w:rPr>
        <w:t>a</w:t>
      </w:r>
      <w:r>
        <w:t xml:space="preserve"> shows all calculations for the case where parts of type 1</w:t>
      </w:r>
      <w:r w:rsidR="003C2DAA">
        <w:t xml:space="preserve"> and 3</w:t>
      </w:r>
      <w:r>
        <w:t xml:space="preserve"> are decentralized while parts of type 7 are centralized at the NDC. Cell H68 shows the total operating cost of such a system to be $</w:t>
      </w:r>
      <w:r w:rsidR="003C2DAA">
        <w:t>828,921</w:t>
      </w:r>
      <w:r>
        <w:t xml:space="preserve"> for the case where all demands are independent. This option thus results in a net savings of $</w:t>
      </w:r>
      <w:r w:rsidR="003C2DAA">
        <w:t>131,405</w:t>
      </w:r>
      <w:r>
        <w:t xml:space="preserve">. </w:t>
      </w:r>
    </w:p>
    <w:p w14:paraId="03AF3F9D" w14:textId="77777777" w:rsidR="00EF2472" w:rsidRDefault="00EF2472" w:rsidP="004A4B2B">
      <w:r w:rsidRPr="00EF2472">
        <w:rPr>
          <w:noProof/>
        </w:rPr>
        <w:drawing>
          <wp:inline distT="0" distB="0" distL="0" distR="0" wp14:anchorId="14718D39" wp14:editId="6343778E">
            <wp:extent cx="5943600" cy="11836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943600" cy="1183640"/>
                    </a:xfrm>
                    <a:prstGeom prst="rect">
                      <a:avLst/>
                    </a:prstGeom>
                  </pic:spPr>
                </pic:pic>
              </a:graphicData>
            </a:graphic>
          </wp:inline>
        </w:drawing>
      </w:r>
    </w:p>
    <w:p w14:paraId="75281BA3" w14:textId="77777777" w:rsidR="004A4B2B" w:rsidRDefault="004A4B2B" w:rsidP="004A4B2B">
      <w:r>
        <w:t xml:space="preserve">The NDC to be built, however, is now much smaller and requires a smaller investment. The total units shipped through the NDC in this case are </w:t>
      </w:r>
      <w:r w:rsidR="003C2DAA">
        <w:t>165,820</w:t>
      </w:r>
      <w:r>
        <w:t xml:space="preserve"> requiring an NDC investment of only about $</w:t>
      </w:r>
      <w:r w:rsidR="003C2DAA">
        <w:t>30</w:t>
      </w:r>
      <w:r>
        <w:t xml:space="preserve">0,000. </w:t>
      </w:r>
    </w:p>
    <w:p w14:paraId="1EB91F7F" w14:textId="77777777" w:rsidR="003C2DAA" w:rsidRDefault="003C2DAA" w:rsidP="003C2DAA">
      <w:r>
        <w:rPr>
          <w:u w:val="single"/>
        </w:rPr>
        <w:t>Centralize Parts 3 &amp; 7 and Combine Regions 4 and 5</w:t>
      </w:r>
    </w:p>
    <w:p w14:paraId="3EFA188A" w14:textId="77777777" w:rsidR="00EF2472" w:rsidRDefault="003C2DAA" w:rsidP="003C2DAA">
      <w:r>
        <w:t xml:space="preserve">The worksheet </w:t>
      </w:r>
      <w:r>
        <w:rPr>
          <w:i/>
        </w:rPr>
        <w:t>Option 2</w:t>
      </w:r>
      <w:r>
        <w:t xml:space="preserve"> shows all calculations for the case where parts of type 1 are decentralized (regions 4 and 5 are combined) while parts of type 3 and 7 are centralized at the NDC. </w:t>
      </w:r>
      <w:r w:rsidRPr="003C2DAA">
        <w:rPr>
          <w:u w:val="single"/>
        </w:rPr>
        <w:t>We make the assumption that transportation costs do not change into region 5.</w:t>
      </w:r>
      <w:r>
        <w:t xml:space="preserve"> Cell H68 shows the total operating cost of such a system to be $751,714 for the case where all demands are independent. </w:t>
      </w:r>
    </w:p>
    <w:p w14:paraId="1B8C31F6" w14:textId="77777777" w:rsidR="00EF2472" w:rsidRDefault="00EF2472" w:rsidP="003C2DAA">
      <w:r w:rsidRPr="00EF2472">
        <w:rPr>
          <w:noProof/>
        </w:rPr>
        <w:drawing>
          <wp:inline distT="0" distB="0" distL="0" distR="0" wp14:anchorId="2E4E771A" wp14:editId="133BE53C">
            <wp:extent cx="5943600" cy="1143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943600" cy="1143000"/>
                    </a:xfrm>
                    <a:prstGeom prst="rect">
                      <a:avLst/>
                    </a:prstGeom>
                  </pic:spPr>
                </pic:pic>
              </a:graphicData>
            </a:graphic>
          </wp:inline>
        </w:drawing>
      </w:r>
    </w:p>
    <w:p w14:paraId="6C657D4F" w14:textId="77777777" w:rsidR="003C2DAA" w:rsidRDefault="003C2DAA" w:rsidP="003C2DAA">
      <w:r>
        <w:t xml:space="preserve">This option thus results in a net savings of $208,612. </w:t>
      </w:r>
    </w:p>
    <w:p w14:paraId="0C8542D4" w14:textId="77777777" w:rsidR="003C2DAA" w:rsidRDefault="003C2DAA" w:rsidP="003C2DAA">
      <w:r>
        <w:rPr>
          <w:u w:val="single"/>
        </w:rPr>
        <w:t>Summary of Results</w:t>
      </w:r>
    </w:p>
    <w:p w14:paraId="6F616DB2" w14:textId="77777777" w:rsidR="003C2DAA" w:rsidRPr="003C2DAA" w:rsidRDefault="003C2DAA" w:rsidP="003C2DAA">
      <w:r>
        <w:t xml:space="preserve">These results are summarized in worksheet </w:t>
      </w:r>
      <w:r>
        <w:rPr>
          <w:i/>
        </w:rPr>
        <w:t>Summary</w:t>
      </w:r>
      <w:r>
        <w:t xml:space="preserve"> for the case where demand across all regions is independent.</w:t>
      </w:r>
    </w:p>
    <w:p w14:paraId="07BA25BA" w14:textId="78F2723A" w:rsidR="003C2DAA" w:rsidRDefault="003B31DA" w:rsidP="003C2DAA">
      <w:r w:rsidRPr="003B31DA">
        <w:rPr>
          <w:noProof/>
        </w:rPr>
        <w:lastRenderedPageBreak/>
        <w:drawing>
          <wp:inline distT="0" distB="0" distL="0" distR="0" wp14:anchorId="65C8BC99" wp14:editId="61221FA4">
            <wp:extent cx="5943600" cy="820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820420"/>
                    </a:xfrm>
                    <a:prstGeom prst="rect">
                      <a:avLst/>
                    </a:prstGeom>
                  </pic:spPr>
                </pic:pic>
              </a:graphicData>
            </a:graphic>
          </wp:inline>
        </w:drawing>
      </w:r>
    </w:p>
    <w:p w14:paraId="0B45FEF4" w14:textId="77777777" w:rsidR="003C2DAA" w:rsidRDefault="003C2DAA" w:rsidP="003C2DAA">
      <w:r>
        <w:t>Any positive correlation will reduce the benefit of centralization.</w:t>
      </w:r>
    </w:p>
    <w:p w14:paraId="17529AD4" w14:textId="77777777" w:rsidR="00EF2472" w:rsidRPr="003C2DAA" w:rsidRDefault="00EF2472" w:rsidP="003C2DAA">
      <w:r>
        <w:t xml:space="preserve">A simple solution is to centralize parts 3 and 7 and decentralize parts 1. </w:t>
      </w:r>
      <w:r w:rsidR="00C64671">
        <w:t>A more profitable (though also a bit more complex) solution is to further combine regions 4 and 5 so that part 1 for both regions is held in a single DC. The higher profitability relies on the assumption that transportation costs to regions 4 and 5 will not change on this combination. This assumption would have to be verified before this decision is implemented.</w:t>
      </w:r>
    </w:p>
    <w:p w14:paraId="570A75BB" w14:textId="77777777" w:rsidR="003C2DAA" w:rsidRDefault="003C2DAA" w:rsidP="004A4B2B"/>
    <w:p w14:paraId="4753620C" w14:textId="77777777" w:rsidR="004A4B2B" w:rsidRPr="004A4B2B" w:rsidRDefault="004A4B2B" w:rsidP="0051583F"/>
    <w:sectPr w:rsidR="004A4B2B" w:rsidRPr="004A4B2B" w:rsidSect="00F01125">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8207C" w14:textId="77777777" w:rsidR="008C3F3A" w:rsidRDefault="008C3F3A" w:rsidP="001128FB">
      <w:pPr>
        <w:spacing w:after="0" w:line="240" w:lineRule="auto"/>
      </w:pPr>
      <w:r>
        <w:separator/>
      </w:r>
    </w:p>
  </w:endnote>
  <w:endnote w:type="continuationSeparator" w:id="0">
    <w:p w14:paraId="24BC0804" w14:textId="77777777" w:rsidR="008C3F3A" w:rsidRDefault="008C3F3A" w:rsidP="00112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A383D" w14:textId="2B19737B" w:rsidR="001128FB" w:rsidRDefault="000C640D">
    <w:pPr>
      <w:pStyle w:val="Footer"/>
    </w:pPr>
    <w:r>
      <w:t>Copyright © 2019 Pearson Education, Inc.</w:t>
    </w:r>
    <w:r w:rsidR="001128FB">
      <w:tab/>
    </w:r>
    <w:r w:rsidR="001128FB">
      <w:tab/>
    </w:r>
    <w:r>
      <w:rPr>
        <w:noProof/>
      </w:rPr>
      <w:drawing>
        <wp:inline distT="0" distB="0" distL="0" distR="0" wp14:anchorId="0A6FF6CD" wp14:editId="747A4553">
          <wp:extent cx="648491"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1111843_High 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8491" cy="45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9F363" w14:textId="77777777" w:rsidR="008C3F3A" w:rsidRDefault="008C3F3A" w:rsidP="001128FB">
      <w:pPr>
        <w:spacing w:after="0" w:line="240" w:lineRule="auto"/>
      </w:pPr>
      <w:r>
        <w:separator/>
      </w:r>
    </w:p>
  </w:footnote>
  <w:footnote w:type="continuationSeparator" w:id="0">
    <w:p w14:paraId="4C86627B" w14:textId="77777777" w:rsidR="008C3F3A" w:rsidRDefault="008C3F3A" w:rsidP="00112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510E" w14:textId="191AD9F5" w:rsidR="00BD43FE" w:rsidRDefault="00BD43F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E4A9B"/>
    <w:multiLevelType w:val="hybridMultilevel"/>
    <w:tmpl w:val="A678E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1583F"/>
    <w:rsid w:val="00055426"/>
    <w:rsid w:val="000C01C6"/>
    <w:rsid w:val="000C640D"/>
    <w:rsid w:val="001128FB"/>
    <w:rsid w:val="00117E0C"/>
    <w:rsid w:val="00164C5F"/>
    <w:rsid w:val="001E43F5"/>
    <w:rsid w:val="001F5AA2"/>
    <w:rsid w:val="002071F4"/>
    <w:rsid w:val="00215D2D"/>
    <w:rsid w:val="00277E22"/>
    <w:rsid w:val="002B5576"/>
    <w:rsid w:val="002D518C"/>
    <w:rsid w:val="00322E5D"/>
    <w:rsid w:val="00363847"/>
    <w:rsid w:val="00364DA7"/>
    <w:rsid w:val="003B31DA"/>
    <w:rsid w:val="003C2DAA"/>
    <w:rsid w:val="004072D3"/>
    <w:rsid w:val="0043270A"/>
    <w:rsid w:val="004637C8"/>
    <w:rsid w:val="00466097"/>
    <w:rsid w:val="00496F9A"/>
    <w:rsid w:val="004A0F66"/>
    <w:rsid w:val="004A4B2B"/>
    <w:rsid w:val="004C010D"/>
    <w:rsid w:val="004F2BAC"/>
    <w:rsid w:val="0051583F"/>
    <w:rsid w:val="00576BEB"/>
    <w:rsid w:val="005D7C8A"/>
    <w:rsid w:val="006B4331"/>
    <w:rsid w:val="006D1DEE"/>
    <w:rsid w:val="0071387B"/>
    <w:rsid w:val="00736D3D"/>
    <w:rsid w:val="00743223"/>
    <w:rsid w:val="0074709E"/>
    <w:rsid w:val="008179F9"/>
    <w:rsid w:val="008C2467"/>
    <w:rsid w:val="008C3F3A"/>
    <w:rsid w:val="008E617E"/>
    <w:rsid w:val="00901D65"/>
    <w:rsid w:val="009128D5"/>
    <w:rsid w:val="00950264"/>
    <w:rsid w:val="009C0CBC"/>
    <w:rsid w:val="00B246E0"/>
    <w:rsid w:val="00B66540"/>
    <w:rsid w:val="00BA2749"/>
    <w:rsid w:val="00BA699C"/>
    <w:rsid w:val="00BD43FE"/>
    <w:rsid w:val="00C30A64"/>
    <w:rsid w:val="00C64671"/>
    <w:rsid w:val="00CC00EF"/>
    <w:rsid w:val="00CD1908"/>
    <w:rsid w:val="00CD521F"/>
    <w:rsid w:val="00DC49A5"/>
    <w:rsid w:val="00DD1A7B"/>
    <w:rsid w:val="00E059AD"/>
    <w:rsid w:val="00E86509"/>
    <w:rsid w:val="00E92A86"/>
    <w:rsid w:val="00E9667B"/>
    <w:rsid w:val="00EF2472"/>
    <w:rsid w:val="00F01125"/>
    <w:rsid w:val="00F334C7"/>
    <w:rsid w:val="00F875E9"/>
    <w:rsid w:val="00FC6B72"/>
    <w:rsid w:val="00FF0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717392"/>
  <w15:docId w15:val="{5E14A782-C256-473B-98D5-3239B4B4B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11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27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749"/>
    <w:rPr>
      <w:rFonts w:ascii="Tahoma" w:hAnsi="Tahoma" w:cs="Tahoma"/>
      <w:sz w:val="16"/>
      <w:szCs w:val="16"/>
    </w:rPr>
  </w:style>
  <w:style w:type="paragraph" w:styleId="Header">
    <w:name w:val="header"/>
    <w:basedOn w:val="Normal"/>
    <w:link w:val="HeaderChar"/>
    <w:uiPriority w:val="99"/>
    <w:unhideWhenUsed/>
    <w:rsid w:val="00112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28FB"/>
  </w:style>
  <w:style w:type="paragraph" w:styleId="Footer">
    <w:name w:val="footer"/>
    <w:basedOn w:val="Normal"/>
    <w:link w:val="FooterChar"/>
    <w:uiPriority w:val="99"/>
    <w:unhideWhenUsed/>
    <w:rsid w:val="001128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28FB"/>
  </w:style>
  <w:style w:type="paragraph" w:styleId="ListParagraph">
    <w:name w:val="List Paragraph"/>
    <w:basedOn w:val="Normal"/>
    <w:uiPriority w:val="34"/>
    <w:qFormat/>
    <w:rsid w:val="00E9667B"/>
    <w:pPr>
      <w:ind w:left="720"/>
      <w:contextualSpacing/>
    </w:pPr>
  </w:style>
  <w:style w:type="character" w:styleId="CommentReference">
    <w:name w:val="annotation reference"/>
    <w:basedOn w:val="DefaultParagraphFont"/>
    <w:uiPriority w:val="99"/>
    <w:semiHidden/>
    <w:unhideWhenUsed/>
    <w:rsid w:val="001E43F5"/>
    <w:rPr>
      <w:sz w:val="16"/>
      <w:szCs w:val="16"/>
    </w:rPr>
  </w:style>
  <w:style w:type="paragraph" w:styleId="CommentText">
    <w:name w:val="annotation text"/>
    <w:basedOn w:val="Normal"/>
    <w:link w:val="CommentTextChar"/>
    <w:uiPriority w:val="99"/>
    <w:semiHidden/>
    <w:unhideWhenUsed/>
    <w:rsid w:val="001E43F5"/>
    <w:pPr>
      <w:spacing w:line="240" w:lineRule="auto"/>
    </w:pPr>
    <w:rPr>
      <w:sz w:val="20"/>
      <w:szCs w:val="20"/>
    </w:rPr>
  </w:style>
  <w:style w:type="character" w:customStyle="1" w:styleId="CommentTextChar">
    <w:name w:val="Comment Text Char"/>
    <w:basedOn w:val="DefaultParagraphFont"/>
    <w:link w:val="CommentText"/>
    <w:uiPriority w:val="99"/>
    <w:semiHidden/>
    <w:rsid w:val="001E43F5"/>
    <w:rPr>
      <w:sz w:val="20"/>
      <w:szCs w:val="20"/>
    </w:rPr>
  </w:style>
  <w:style w:type="paragraph" w:styleId="CommentSubject">
    <w:name w:val="annotation subject"/>
    <w:basedOn w:val="CommentText"/>
    <w:next w:val="CommentText"/>
    <w:link w:val="CommentSubjectChar"/>
    <w:uiPriority w:val="99"/>
    <w:semiHidden/>
    <w:unhideWhenUsed/>
    <w:rsid w:val="001E43F5"/>
    <w:rPr>
      <w:b/>
      <w:bCs/>
    </w:rPr>
  </w:style>
  <w:style w:type="character" w:customStyle="1" w:styleId="CommentSubjectChar">
    <w:name w:val="Comment Subject Char"/>
    <w:basedOn w:val="CommentTextChar"/>
    <w:link w:val="CommentSubject"/>
    <w:uiPriority w:val="99"/>
    <w:semiHidden/>
    <w:rsid w:val="001E43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4</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Supply Chain Management - 6th edition</vt:lpstr>
    </vt:vector>
  </TitlesOfParts>
  <Company>Kellogg School of Management</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Supply Chain Management - 6th edition</dc:title>
  <dc:subject>AlLKO Case Study</dc:subject>
  <dc:creator>Sunil Chopra/Jay Mabe</dc:creator>
  <cp:lastModifiedBy>Mirano, Ronel</cp:lastModifiedBy>
  <cp:revision>14</cp:revision>
  <dcterms:created xsi:type="dcterms:W3CDTF">2015-09-14T19:22:00Z</dcterms:created>
  <dcterms:modified xsi:type="dcterms:W3CDTF">2017-10-23T09:40:00Z</dcterms:modified>
</cp:coreProperties>
</file>